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中泰信诚资产管理有限公司</w:t>
      </w:r>
    </w:p>
    <w:p>
      <w:pPr>
        <w:spacing w:afterLines="0"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季度重大信息公告</w:t>
      </w:r>
    </w:p>
    <w:p>
      <w:pPr>
        <w:spacing w:afterLines="0" w:line="560" w:lineRule="exact"/>
        <w:ind w:firstLine="880"/>
        <w:jc w:val="center"/>
        <w:rPr>
          <w:rFonts w:ascii="方正小标宋简体" w:hAnsi="方正小标宋简体" w:eastAsia="方正小标宋简体" w:cs="方正小标宋简体"/>
          <w:sz w:val="44"/>
          <w:szCs w:val="44"/>
        </w:rPr>
      </w:pPr>
    </w:p>
    <w:p>
      <w:pPr>
        <w:spacing w:afterLines="0" w:line="56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   一、公司基本情况</w:t>
      </w:r>
    </w:p>
    <w:p>
      <w:pPr>
        <w:spacing w:afterLines="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（一）公司基本信息</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1.公司名称：中泰信诚资产管理有限公司</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2.法定代表人：赵志强</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3.统一社会信用代码：9137000016307272X7</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4.注册资本：5200万元</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营范围：项目投资、股权投资与管理、不良资产管理与处置；投资咨询；企业托管经营与管理；企业资产兼并、重组与管理；房屋租赁、物业管理，仓储；经批准的进出口贸易业务；代理进出口业务；对外派遣实施公司境外工程所需要的劳务人员。（依法须经批准的项目，经相关部门批准后方可开展经营活动）。</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6.办公地址：山东省青岛市市南区福州南路9号</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7.邮政编码：266071</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8.联系电话：0532－80936912</w:t>
      </w:r>
    </w:p>
    <w:p>
      <w:pPr>
        <w:spacing w:afterLines="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9.电子邮箱：</w:t>
      </w:r>
      <w:r>
        <w:fldChar w:fldCharType="begin"/>
      </w:r>
      <w:r>
        <w:instrText xml:space="preserve"> HYPERLINK "mailto:bg@ztxcgs.com" </w:instrText>
      </w:r>
      <w:r>
        <w:fldChar w:fldCharType="separate"/>
      </w:r>
      <w:r>
        <w:rPr>
          <w:rStyle w:val="7"/>
          <w:rFonts w:hint="eastAsia" w:ascii="仿宋_GB2312" w:hAnsi="仿宋_GB2312" w:eastAsia="仿宋_GB2312" w:cs="仿宋_GB2312"/>
          <w:sz w:val="32"/>
          <w:szCs w:val="32"/>
        </w:rPr>
        <w:t>bg@ztxcgs.com</w:t>
      </w:r>
      <w:r>
        <w:rPr>
          <w:rStyle w:val="7"/>
          <w:rFonts w:hint="eastAsia" w:ascii="仿宋_GB2312" w:hAnsi="仿宋_GB2312" w:eastAsia="仿宋_GB2312" w:cs="仿宋_GB2312"/>
          <w:sz w:val="32"/>
          <w:szCs w:val="32"/>
        </w:rPr>
        <w:fldChar w:fldCharType="end"/>
      </w:r>
    </w:p>
    <w:p>
      <w:pPr>
        <w:spacing w:afterLines="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（二）公司简介</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1.公司简介：中泰信诚资产管理有限公司（简称“中泰信诚公司”） 2017 年由山东省国有资产投资控股有限公司（简称“山东国投公司”）出资设立，系山东国投公司在山东半岛东部国企改革重组和国有资产管理运营的管理平台。注册资本 5200 万元。主要从事项目投资、股权投资与管理；企业托管经营与管理；不良资产的管理与处置；企业资产兼并、重组与管理；投资咨询；房屋租赁、物业管理、物流仓储等业务。</w:t>
      </w:r>
      <w:r>
        <w:rPr>
          <w:rFonts w:hint="eastAsia" w:ascii="仿宋_GB2312" w:hAnsi="仿宋_GB2312" w:eastAsia="仿宋_GB2312" w:cs="仿宋_GB2312"/>
          <w:sz w:val="32"/>
          <w:szCs w:val="32"/>
          <w:shd w:val="clear" w:color="auto" w:fill="FFFFFF"/>
        </w:rPr>
        <w:t>公司拥有雄厚的资金实力、高素质的专业化团队和广泛的市场资源。经过多年的实践与探索，公司建立了规范的治理结构、科学高效的决策机制和完善的风险管理体系，</w:t>
      </w:r>
      <w:r>
        <w:rPr>
          <w:rFonts w:hint="eastAsia" w:ascii="仿宋_GB2312" w:hAnsi="仿宋_GB2312" w:eastAsia="仿宋_GB2312" w:cs="仿宋_GB2312"/>
          <w:sz w:val="32"/>
          <w:szCs w:val="32"/>
        </w:rPr>
        <w:t>在项目开发、论证决策、资源整合、投后管理、风险管控等方面积累了丰富的经验，市场竞争力和影响力凸显，经济效益稳步提升。公司将大力践行“为国企谋发展、为社会谋动力、为国家谋价值、为职工谋福祉”的初心追求，以党建强根铸魂、视发展为第一要务，以专业化、市场化之精神筑牢资本运营之基，以强担当、涉险滩之勇全力完成国企使命，“双轮驱动”创新发展，致力打造管理规范高效、盈利能力突出、市场竞争力强，在山东省内具有较强影响力的国有品牌企业。</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2.公司股东:山东省国有资产投资控股有限公司</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3.出资额及持股比例:5200万元，100%</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4.公司管理团队：</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董事会：赵志强、刘志辉、张春幸、朱延铎、李良美</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党委会：赵志强、刘志辉、徐乐基、王海、董光明</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经理层：刘志辉、徐乐基、王海</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监事会：韩俊鹏、王方、辛笑弘</w:t>
      </w:r>
    </w:p>
    <w:p>
      <w:pPr>
        <w:pStyle w:val="4"/>
        <w:widowControl/>
        <w:shd w:val="clear" w:color="auto" w:fill="FFFFFF"/>
        <w:spacing w:before="0" w:beforeAutospacing="0" w:afterLines="0" w:afterAutospacing="0" w:line="560" w:lineRule="exact"/>
        <w:ind w:firstLine="640"/>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391160</wp:posOffset>
            </wp:positionH>
            <wp:positionV relativeFrom="paragraph">
              <wp:posOffset>454025</wp:posOffset>
            </wp:positionV>
            <wp:extent cx="4691380" cy="3051175"/>
            <wp:effectExtent l="0" t="0" r="0" b="0"/>
            <wp:wrapSquare wrapText="bothSides"/>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7" cstate="print"/>
                    <a:stretch>
                      <a:fillRect/>
                    </a:stretch>
                  </pic:blipFill>
                  <pic:spPr>
                    <a:xfrm>
                      <a:off x="0" y="0"/>
                      <a:ext cx="4691380" cy="3051175"/>
                    </a:xfrm>
                    <a:prstGeom prst="rect">
                      <a:avLst/>
                    </a:prstGeom>
                  </pic:spPr>
                </pic:pic>
              </a:graphicData>
            </a:graphic>
          </wp:anchor>
        </w:drawing>
      </w:r>
      <w:r>
        <w:rPr>
          <w:rFonts w:hint="eastAsia" w:ascii="仿宋_GB2312" w:hAnsi="仿宋_GB2312" w:eastAsia="仿宋_GB2312" w:cs="仿宋_GB2312"/>
          <w:sz w:val="32"/>
          <w:szCs w:val="32"/>
        </w:rPr>
        <w:t>5.公司组织架构：</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widowControl/>
        <w:shd w:val="clear" w:color="auto" w:fill="FFFFFF"/>
        <w:spacing w:before="0" w:beforeAutospacing="0" w:afterLines="0" w:afterAutospacing="0" w:line="560" w:lineRule="exact"/>
        <w:ind w:firstLine="0" w:firstLineChars="0"/>
        <w:rPr>
          <w:rFonts w:ascii="仿宋_GB2312" w:hAnsi="仿宋_GB2312" w:eastAsia="仿宋_GB2312" w:cs="仿宋_GB2312"/>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0" w:afterAutospacing="0" w:line="540" w:lineRule="exact"/>
        <w:ind w:firstLine="640"/>
        <w:textAlignment w:val="auto"/>
        <w:rPr>
          <w:rFonts w:ascii="黑体" w:hAnsi="黑体" w:eastAsia="黑体" w:cs="黑体"/>
          <w:sz w:val="32"/>
          <w:szCs w:val="32"/>
        </w:rPr>
      </w:pPr>
      <w:r>
        <w:rPr>
          <w:rFonts w:hint="eastAsia" w:ascii="黑体" w:hAnsi="黑体" w:eastAsia="黑体" w:cs="黑体"/>
          <w:sz w:val="32"/>
          <w:szCs w:val="32"/>
        </w:rPr>
        <w:t>二、企业主要财务状况和经营情况（企业财务快报数）</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jc w:val="both"/>
        <w:textAlignment w:val="auto"/>
        <w:rPr>
          <w:rFonts w:ascii="仿宋_GB2312" w:hAnsi="Times New Roman" w:eastAsia="仿宋_GB2312" w:cs="Times New Roman"/>
          <w:sz w:val="32"/>
          <w:szCs w:val="32"/>
          <w:highlight w:val="none"/>
          <w:shd w:val="clear" w:color="auto" w:fill="FFFFFF"/>
        </w:rPr>
      </w:pPr>
      <w:r>
        <w:rPr>
          <w:rFonts w:hint="eastAsia" w:ascii="仿宋_GB2312" w:hAnsi="Times New Roman" w:eastAsia="仿宋_GB2312" w:cs="Times New Roman"/>
          <w:sz w:val="32"/>
          <w:szCs w:val="32"/>
          <w:highlight w:val="none"/>
          <w:shd w:val="clear" w:color="auto" w:fill="FFFFFF"/>
        </w:rPr>
        <w:t>1</w:t>
      </w:r>
      <w:r>
        <w:rPr>
          <w:rFonts w:ascii="仿宋_GB2312" w:hAnsi="Times New Roman" w:eastAsia="仿宋_GB2312" w:cs="Times New Roman"/>
          <w:sz w:val="32"/>
          <w:szCs w:val="32"/>
          <w:highlight w:val="none"/>
          <w:shd w:val="clear" w:color="auto" w:fill="FFFFFF"/>
        </w:rPr>
        <w:t>.</w:t>
      </w:r>
      <w:r>
        <w:rPr>
          <w:rFonts w:hint="eastAsia" w:ascii="仿宋_GB2312" w:hAnsi="Times New Roman" w:eastAsia="仿宋_GB2312" w:cs="Times New Roman"/>
          <w:sz w:val="32"/>
          <w:szCs w:val="32"/>
          <w:highlight w:val="none"/>
          <w:shd w:val="clear" w:color="auto" w:fill="FFFFFF"/>
        </w:rPr>
        <w:t>主要会计数据和财务指标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截止2022年1-3月，资产总额39214万元，所有者权益18310万元，营业总收入511万元，营业总成本425万元，利润总额147万元。</w:t>
      </w:r>
    </w:p>
    <w:p>
      <w:pPr>
        <w:pStyle w:val="8"/>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2.</w:t>
      </w:r>
      <w:bookmarkStart w:id="0" w:name="_GoBack"/>
      <w:bookmarkEnd w:id="0"/>
      <w:r>
        <w:rPr>
          <w:rFonts w:hint="eastAsia" w:ascii="仿宋_GB2312" w:hAnsi="仿宋_GB2312" w:eastAsia="仿宋_GB2312" w:cs="仿宋_GB2312"/>
          <w:kern w:val="2"/>
          <w:sz w:val="32"/>
          <w:szCs w:val="32"/>
          <w:highlight w:val="none"/>
        </w:rPr>
        <w:t>财务预算执行情况</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截止2022年1-3月，营业总收入511万元、利润总额147万元</w:t>
      </w:r>
      <w:r>
        <w:rPr>
          <w:rFonts w:hint="eastAsia" w:ascii="仿宋_GB2312" w:hAnsi="仿宋_GB2312" w:eastAsia="仿宋_GB2312" w:cs="仿宋_GB2312"/>
          <w:kern w:val="2"/>
          <w:sz w:val="32"/>
          <w:szCs w:val="32"/>
          <w:highlight w:val="none"/>
          <w:lang w:eastAsia="zh-CN"/>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Autospacing="0" w:line="540" w:lineRule="exact"/>
        <w:ind w:firstLine="640" w:firstLineChars="200"/>
        <w:jc w:val="both"/>
        <w:textAlignment w:val="auto"/>
        <w:rPr>
          <w:rFonts w:ascii="黑体" w:hAnsi="黑体" w:eastAsia="黑体" w:cs="黑体"/>
          <w:kern w:val="2"/>
          <w:sz w:val="32"/>
          <w:szCs w:val="32"/>
        </w:rPr>
      </w:pPr>
      <w:r>
        <w:rPr>
          <w:rFonts w:hint="eastAsia" w:ascii="黑体" w:hAnsi="黑体" w:eastAsia="黑体" w:cs="黑体"/>
          <w:kern w:val="2"/>
          <w:sz w:val="32"/>
          <w:szCs w:val="32"/>
        </w:rPr>
        <w:t>三、重大事项</w:t>
      </w:r>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、其他</w:t>
      </w:r>
      <w:r>
        <w:rPr>
          <w:rFonts w:hint="eastAsia" w:ascii="黑体" w:hAnsi="黑体" w:eastAsia="黑体"/>
          <w:sz w:val="32"/>
          <w:szCs w:val="32"/>
        </w:rPr>
        <w:t>依照</w:t>
      </w:r>
      <w:r>
        <w:rPr>
          <w:rFonts w:ascii="黑体" w:hAnsi="黑体" w:eastAsia="黑体"/>
          <w:sz w:val="32"/>
          <w:szCs w:val="32"/>
        </w:rPr>
        <w:t>法律法规应当公开的信息</w:t>
      </w:r>
    </w:p>
    <w:p>
      <w:pPr>
        <w:keepNext w:val="0"/>
        <w:keepLines w:val="0"/>
        <w:pageBreakBefore w:val="0"/>
        <w:kinsoku/>
        <w:wordWrap/>
        <w:overflowPunct/>
        <w:topLinePunct w:val="0"/>
        <w:autoSpaceDE/>
        <w:autoSpaceDN/>
        <w:bidi w:val="0"/>
        <w:adjustRightInd/>
        <w:snapToGrid/>
        <w:spacing w:afterLines="0" w:line="540" w:lineRule="exact"/>
        <w:ind w:firstLine="640"/>
        <w:textAlignment w:val="auto"/>
        <w:rPr>
          <w:rFonts w:ascii="仿宋_GB2312" w:hAnsi="仿宋_GB2312" w:eastAsia="仿宋_GB2312" w:cs="仿宋_GB2312"/>
          <w:sz w:val="32"/>
          <w:szCs w:val="32"/>
        </w:rPr>
      </w:pPr>
      <w:r>
        <w:rPr>
          <w:rFonts w:hint="eastAsia" w:ascii="仿宋_GB2312" w:hAnsi="仿宋" w:eastAsia="仿宋_GB2312"/>
          <w:sz w:val="32"/>
          <w:szCs w:val="32"/>
        </w:rPr>
        <w:t>无</w:t>
      </w:r>
      <w:r>
        <w:rPr>
          <w:rFonts w:ascii="仿宋_GB2312" w:hAnsi="仿宋" w:eastAsia="仿宋_GB2312"/>
          <w:sz w:val="32"/>
          <w:szCs w:val="32"/>
        </w:rPr>
        <w:t>。</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C38C61-0131-4579-B390-B8AB90A1B5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7F0DA1C1-966D-4EB4-A06B-C8F2C54C89AA}"/>
  </w:font>
  <w:font w:name="Calibri">
    <w:panose1 w:val="020F05020202040A0204"/>
    <w:charset w:val="00"/>
    <w:family w:val="swiss"/>
    <w:pitch w:val="default"/>
    <w:sig w:usb0="E00002FF" w:usb1="4000ACFF" w:usb2="00000001" w:usb3="00000000" w:csb0="2000019F" w:csb1="00000000"/>
    <w:embedRegular r:id="rId3" w:fontKey="{D47C6E79-C805-405E-8362-DFE4E393EE5D}"/>
  </w:font>
  <w:font w:name="方正小标宋简体">
    <w:panose1 w:val="03000509000000000000"/>
    <w:charset w:val="86"/>
    <w:family w:val="script"/>
    <w:pitch w:val="default"/>
    <w:sig w:usb0="00000001" w:usb1="080E0000" w:usb2="00000000" w:usb3="00000000" w:csb0="00040000" w:csb1="00000000"/>
    <w:embedRegular r:id="rId4" w:fontKey="{5BEBF3B0-E44C-4212-87EE-27F39C4966AE}"/>
  </w:font>
  <w:font w:name="楷体_GB2312">
    <w:panose1 w:val="02010609030101010101"/>
    <w:charset w:val="86"/>
    <w:family w:val="modern"/>
    <w:pitch w:val="default"/>
    <w:sig w:usb0="00000001" w:usb1="080E0000" w:usb2="00000000" w:usb3="00000000" w:csb0="00040000" w:csb1="00000000"/>
    <w:embedRegular r:id="rId5" w:fontKey="{0B81AEEA-4FA2-4FA7-B597-766BD835F6D2}"/>
  </w:font>
  <w:font w:name="仿宋_GB2312">
    <w:panose1 w:val="02010609030101010101"/>
    <w:charset w:val="86"/>
    <w:family w:val="modern"/>
    <w:pitch w:val="default"/>
    <w:sig w:usb0="00000001" w:usb1="080E0000" w:usb2="00000000" w:usb3="00000000" w:csb0="00040000" w:csb1="00000000"/>
    <w:embedRegular r:id="rId6" w:fontKey="{6B87D51E-1B1E-474D-83A0-D76A6FF83877}"/>
  </w:font>
  <w:font w:name="仿宋">
    <w:panose1 w:val="02010609060101010101"/>
    <w:charset w:val="86"/>
    <w:family w:val="modern"/>
    <w:pitch w:val="default"/>
    <w:sig w:usb0="800002BF" w:usb1="38CF7CFA" w:usb2="00000016" w:usb3="00000000" w:csb0="00040001" w:csb1="00000000"/>
    <w:embedRegular r:id="rId7" w:fontKey="{74686E11-184C-4AF1-B212-5511391378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120"/>
      <w:ind w:firstLine="360"/>
    </w:pPr>
    <w:r>
      <w:pict>
        <v:shape id="_x0000_s2049" o:spid="_x0000_s2049" o:spt="202" type="#_x0000_t202" style="position:absolute;left:0pt;margin-top:-0.7pt;height:32.95pt;width:65.3pt;mso-position-horizontal:outside;mso-position-horizontal-relative:margin;z-index:251659264;mso-width-relative:page;mso-height-relative:page;" filled="f" stroked="f" coordsize="21600,21600" o:gfxdata="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Pbd5XVAAAABgEAAA8AAAAAAAAAAQAgAAAAIgAAAGRycy9kb3ducmV2&#10;LnhtbFBLAQIUABQAAAAIAIdO4kDvJGZ8OAIAAGEEAAAOAAAAAAAAAAEAIAAAACQBAABkcnMvZTJv&#10;RG9jLnhtbFBLBQYAAAAABgAGAFkBAADOBQAAAAA=&#10;">
          <v:path/>
          <v:fill on="f" focussize="0,0"/>
          <v:stroke on="f" weight="0.5pt" joinstyle="miter"/>
          <v:imagedata o:title=""/>
          <o:lock v:ext="edit"/>
          <v:textbox inset="0mm,0mm,0mm,0mm">
            <w:txbxContent>
              <w:p>
                <w:pPr>
                  <w:pStyle w:val="2"/>
                  <w:spacing w:after="120"/>
                  <w:ind w:firstLine="560"/>
                  <w:rPr>
                    <w:rFonts w:ascii="Symbol" w:hAnsi="Symbol" w:cs="Symbol"/>
                    <w:sz w:val="28"/>
                    <w:szCs w:val="28"/>
                  </w:rPr>
                </w:pPr>
                <w:r>
                  <w:rPr>
                    <w:rFonts w:ascii="Symbol" w:hAnsi="Symbol" w:cs="Symbol"/>
                    <w:sz w:val="28"/>
                    <w:szCs w:val="28"/>
                  </w:rPr>
                  <w:fldChar w:fldCharType="begin"/>
                </w:r>
                <w:r>
                  <w:rPr>
                    <w:rFonts w:ascii="Symbol" w:hAnsi="Symbol" w:cs="Symbol"/>
                    <w:sz w:val="28"/>
                    <w:szCs w:val="28"/>
                  </w:rPr>
                  <w:instrText xml:space="preserve"> PAGE  \* MERGEFORMAT </w:instrText>
                </w:r>
                <w:r>
                  <w:rPr>
                    <w:rFonts w:ascii="Symbol" w:hAnsi="Symbol" w:cs="Symbol"/>
                    <w:sz w:val="28"/>
                    <w:szCs w:val="28"/>
                  </w:rPr>
                  <w:fldChar w:fldCharType="separate"/>
                </w:r>
                <w:r>
                  <w:rPr>
                    <w:rFonts w:hint="eastAsia" w:ascii="Symbol" w:hAnsi="Symbol" w:cs="Symbol"/>
                    <w:sz w:val="28"/>
                    <w:szCs w:val="28"/>
                  </w:rPr>
                  <w:t>- 1 -</w:t>
                </w:r>
                <w:r>
                  <w:rPr>
                    <w:rFonts w:ascii="Symbol" w:hAnsi="Symbol" w:cs="Symbol"/>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zZjM4ODA2NWY2OGI0NTYxZTA1YTgxZTM5MjNjODIifQ=="/>
  </w:docVars>
  <w:rsids>
    <w:rsidRoot w:val="00FD42A7"/>
    <w:rsid w:val="00D020AA"/>
    <w:rsid w:val="00FC280E"/>
    <w:rsid w:val="00FD42A7"/>
    <w:rsid w:val="0418460D"/>
    <w:rsid w:val="0DDB33FC"/>
    <w:rsid w:val="174558EE"/>
    <w:rsid w:val="1EB43AC1"/>
    <w:rsid w:val="1FA84927"/>
    <w:rsid w:val="319D648A"/>
    <w:rsid w:val="31B40CEB"/>
    <w:rsid w:val="382F001C"/>
    <w:rsid w:val="3BA6260E"/>
    <w:rsid w:val="4A3113F5"/>
    <w:rsid w:val="54F51727"/>
    <w:rsid w:val="5AA34EE0"/>
    <w:rsid w:val="62C0604B"/>
    <w:rsid w:val="69F0380C"/>
    <w:rsid w:val="744B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styleId="7">
    <w:name w:val="Hyperlink"/>
    <w:basedOn w:val="6"/>
    <w:qFormat/>
    <w:uiPriority w:val="0"/>
    <w:rPr>
      <w:color w:val="0000FF"/>
      <w:u w:val="single"/>
    </w:rPr>
  </w:style>
  <w:style w:type="paragraph" w:customStyle="1" w:styleId="8">
    <w:name w:val="p"/>
    <w:basedOn w:val="1"/>
    <w:qFormat/>
    <w:uiPriority w:val="0"/>
    <w:pPr>
      <w:widowControl/>
      <w:spacing w:before="100" w:beforeAutospacing="1" w:afterLines="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extobjs>
    <extobj name="ECB019B1-382A-4266-B25C-5B523AA43C14-1">
      <extobjdata type="ECB019B1-382A-4266-B25C-5B523AA43C14" data="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1017</Words>
  <Characters>1123</Characters>
  <Lines>9</Lines>
  <Paragraphs>2</Paragraphs>
  <TotalTime>2</TotalTime>
  <ScaleCrop>false</ScaleCrop>
  <LinksUpToDate>false</LinksUpToDate>
  <CharactersWithSpaces>1132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2022-02-18T07:44:00Z</dcterms:created>
  <dc:creator>Administrator</dc:creator>
  <cp:lastModifiedBy>大漠蝴蝶</cp:lastModifiedBy>
  <cp:lastPrinted>2022-04-27T07:10:00Z</cp:lastPrinted>
  <dcterms:modified xsi:type="dcterms:W3CDTF">2022-04-27T07:38:56Z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11F28CD99F0F44F6B73C16FD26FB71FB</vt:lpwstr>
  </property>
</Properties>
</file>